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F8E" w:rsidRPr="00D36F8E" w:rsidRDefault="00D36F8E" w:rsidP="00D36F8E">
      <w:pPr>
        <w:keepNext/>
        <w:keepLines/>
        <w:spacing w:before="40" w:after="0"/>
        <w:outlineLvl w:val="2"/>
        <w:rPr>
          <w:rFonts w:asciiTheme="majorHAnsi" w:eastAsiaTheme="majorEastAsia" w:hAnsiTheme="majorHAnsi" w:cstheme="majorBidi"/>
          <w:color w:val="1F4D78" w:themeColor="accent1" w:themeShade="7F"/>
          <w:sz w:val="32"/>
          <w:szCs w:val="24"/>
        </w:rPr>
      </w:pPr>
      <w:bookmarkStart w:id="0" w:name="_Toc472960737"/>
      <w:r w:rsidRPr="00D36F8E">
        <w:rPr>
          <w:rFonts w:asciiTheme="majorHAnsi" w:eastAsiaTheme="majorEastAsia" w:hAnsiTheme="majorHAnsi" w:cstheme="majorBidi"/>
          <w:color w:val="1F4D78" w:themeColor="accent1" w:themeShade="7F"/>
          <w:sz w:val="32"/>
          <w:szCs w:val="24"/>
        </w:rPr>
        <w:t>La fiche d’évaluation des connaissances et des attitudes</w:t>
      </w:r>
      <w:bookmarkEnd w:id="0"/>
      <w:r w:rsidR="00D96FE7">
        <w:rPr>
          <w:rFonts w:asciiTheme="majorHAnsi" w:eastAsiaTheme="majorEastAsia" w:hAnsiTheme="majorHAnsi" w:cstheme="majorBidi"/>
          <w:color w:val="1F4D78" w:themeColor="accent1" w:themeShade="7F"/>
          <w:sz w:val="32"/>
          <w:szCs w:val="24"/>
        </w:rPr>
        <w:t xml:space="preserve"> - ASSN</w:t>
      </w:r>
      <w:bookmarkStart w:id="1" w:name="_GoBack"/>
      <w:bookmarkEnd w:id="1"/>
    </w:p>
    <w:p w:rsidR="00D36F8E" w:rsidRPr="00D36F8E" w:rsidRDefault="00D36F8E" w:rsidP="00D36F8E"/>
    <w:tbl>
      <w:tblPr>
        <w:tblStyle w:val="Grilledutableau"/>
        <w:tblW w:w="5469" w:type="pct"/>
        <w:tblInd w:w="-572" w:type="dxa"/>
        <w:tblLook w:val="04A0" w:firstRow="1" w:lastRow="0" w:firstColumn="1" w:lastColumn="0" w:noHBand="0" w:noVBand="1"/>
      </w:tblPr>
      <w:tblGrid>
        <w:gridCol w:w="2127"/>
        <w:gridCol w:w="2979"/>
        <w:gridCol w:w="3398"/>
        <w:gridCol w:w="3686"/>
        <w:gridCol w:w="3117"/>
      </w:tblGrid>
      <w:tr w:rsidR="00D36F8E" w:rsidRPr="00D36F8E" w:rsidTr="00D60AE2">
        <w:tc>
          <w:tcPr>
            <w:tcW w:w="695" w:type="pct"/>
          </w:tcPr>
          <w:p w:rsidR="00D36F8E" w:rsidRPr="00D36F8E" w:rsidRDefault="00D36F8E" w:rsidP="00D36F8E">
            <w:pPr>
              <w:rPr>
                <w:sz w:val="21"/>
                <w:szCs w:val="21"/>
              </w:rPr>
            </w:pPr>
            <w:r w:rsidRPr="00D36F8E">
              <w:rPr>
                <w:sz w:val="21"/>
                <w:szCs w:val="21"/>
              </w:rPr>
              <w:t>Connaissances et attitudes</w:t>
            </w:r>
          </w:p>
        </w:tc>
        <w:tc>
          <w:tcPr>
            <w:tcW w:w="973" w:type="pct"/>
            <w:shd w:val="clear" w:color="auto" w:fill="F2F2F2" w:themeFill="background1" w:themeFillShade="F2"/>
          </w:tcPr>
          <w:p w:rsidR="00D36F8E" w:rsidRPr="00D36F8E" w:rsidRDefault="00D36F8E" w:rsidP="00D36F8E">
            <w:pPr>
              <w:rPr>
                <w:sz w:val="21"/>
                <w:szCs w:val="21"/>
              </w:rPr>
            </w:pPr>
            <w:r w:rsidRPr="00D36F8E">
              <w:rPr>
                <w:sz w:val="21"/>
                <w:szCs w:val="21"/>
              </w:rPr>
              <w:t>Niveau 1 : Objectifs d’apprentissage non atteints</w:t>
            </w:r>
          </w:p>
        </w:tc>
        <w:tc>
          <w:tcPr>
            <w:tcW w:w="1110" w:type="pct"/>
            <w:shd w:val="clear" w:color="auto" w:fill="F2F2F2" w:themeFill="background1" w:themeFillShade="F2"/>
          </w:tcPr>
          <w:p w:rsidR="00D36F8E" w:rsidRPr="00D36F8E" w:rsidRDefault="00D36F8E" w:rsidP="00D36F8E">
            <w:pPr>
              <w:rPr>
                <w:sz w:val="21"/>
                <w:szCs w:val="21"/>
              </w:rPr>
            </w:pPr>
            <w:r w:rsidRPr="00D36F8E">
              <w:rPr>
                <w:sz w:val="21"/>
                <w:szCs w:val="21"/>
              </w:rPr>
              <w:t>Niveau 2 : Objectifs d’apprentissage partiellement atteints</w:t>
            </w:r>
          </w:p>
        </w:tc>
        <w:tc>
          <w:tcPr>
            <w:tcW w:w="1204" w:type="pct"/>
          </w:tcPr>
          <w:p w:rsidR="00D36F8E" w:rsidRPr="00D36F8E" w:rsidRDefault="00D36F8E" w:rsidP="00D36F8E">
            <w:pPr>
              <w:rPr>
                <w:sz w:val="21"/>
                <w:szCs w:val="21"/>
              </w:rPr>
            </w:pPr>
            <w:r w:rsidRPr="00D36F8E">
              <w:rPr>
                <w:sz w:val="21"/>
                <w:szCs w:val="21"/>
              </w:rPr>
              <w:t>Niveau 3 : Objectifs d’apprentissage atteints</w:t>
            </w:r>
          </w:p>
        </w:tc>
        <w:tc>
          <w:tcPr>
            <w:tcW w:w="1018" w:type="pct"/>
          </w:tcPr>
          <w:p w:rsidR="00D36F8E" w:rsidRPr="00D36F8E" w:rsidRDefault="00D36F8E" w:rsidP="00D36F8E">
            <w:pPr>
              <w:rPr>
                <w:sz w:val="21"/>
                <w:szCs w:val="21"/>
              </w:rPr>
            </w:pPr>
            <w:r w:rsidRPr="00D36F8E">
              <w:rPr>
                <w:sz w:val="21"/>
                <w:szCs w:val="21"/>
              </w:rPr>
              <w:t>Niveau 4 : Objectifs d’apprentissage dépassés</w:t>
            </w:r>
          </w:p>
        </w:tc>
      </w:tr>
      <w:tr w:rsidR="00D36F8E" w:rsidRPr="00D36F8E" w:rsidTr="00D60AE2">
        <w:tc>
          <w:tcPr>
            <w:tcW w:w="695" w:type="pct"/>
          </w:tcPr>
          <w:p w:rsidR="00D36F8E" w:rsidRPr="00D36F8E" w:rsidRDefault="00D36F8E" w:rsidP="00D36F8E">
            <w:pPr>
              <w:rPr>
                <w:sz w:val="21"/>
                <w:szCs w:val="21"/>
              </w:rPr>
            </w:pPr>
            <w:r w:rsidRPr="00D36F8E">
              <w:rPr>
                <w:sz w:val="21"/>
                <w:szCs w:val="21"/>
              </w:rPr>
              <w:t>Règles d’hygiène</w:t>
            </w:r>
          </w:p>
        </w:tc>
        <w:tc>
          <w:tcPr>
            <w:tcW w:w="973" w:type="pct"/>
            <w:shd w:val="clear" w:color="auto" w:fill="F2F2F2" w:themeFill="background1" w:themeFillShade="F2"/>
          </w:tcPr>
          <w:p w:rsidR="00D36F8E" w:rsidRPr="00D36F8E" w:rsidRDefault="00D36F8E" w:rsidP="00D36F8E">
            <w:pPr>
              <w:rPr>
                <w:sz w:val="21"/>
                <w:szCs w:val="21"/>
              </w:rPr>
            </w:pPr>
            <w:r w:rsidRPr="00D36F8E">
              <w:rPr>
                <w:sz w:val="21"/>
                <w:szCs w:val="21"/>
              </w:rPr>
              <w:t>Il ne connait pas et ne respecte  pas les règles primordiales à mettre en œuvre  avant d’accéder au bassin (passage aux toilettes PUIS à la douche, passage dans le pédiluve, nécessité de demander à aller aux toilettes en cas de besoin</w:t>
            </w:r>
          </w:p>
        </w:tc>
        <w:tc>
          <w:tcPr>
            <w:tcW w:w="1110" w:type="pct"/>
            <w:shd w:val="clear" w:color="auto" w:fill="F2F2F2" w:themeFill="background1" w:themeFillShade="F2"/>
          </w:tcPr>
          <w:p w:rsidR="00D36F8E" w:rsidRPr="00D36F8E" w:rsidRDefault="00D36F8E" w:rsidP="00D36F8E">
            <w:pPr>
              <w:rPr>
                <w:sz w:val="21"/>
                <w:szCs w:val="21"/>
              </w:rPr>
            </w:pPr>
            <w:r w:rsidRPr="00D36F8E">
              <w:rPr>
                <w:sz w:val="21"/>
                <w:szCs w:val="21"/>
              </w:rPr>
              <w:t xml:space="preserve">L’élève connaît certaines règles d’hygiène mais n’en comprend pas le sens : il évite la douche et le pédiluve par exemple  </w:t>
            </w:r>
          </w:p>
        </w:tc>
        <w:tc>
          <w:tcPr>
            <w:tcW w:w="1204" w:type="pct"/>
          </w:tcPr>
          <w:p w:rsidR="00D36F8E" w:rsidRPr="00D36F8E" w:rsidRDefault="00D36F8E" w:rsidP="00D36F8E">
            <w:pPr>
              <w:rPr>
                <w:sz w:val="21"/>
                <w:szCs w:val="21"/>
              </w:rPr>
            </w:pPr>
            <w:r w:rsidRPr="00D36F8E">
              <w:rPr>
                <w:sz w:val="21"/>
                <w:szCs w:val="21"/>
              </w:rPr>
              <w:t xml:space="preserve">L’élève connaît et met en œuvre les règles d’hygiène primordiales. </w:t>
            </w:r>
          </w:p>
          <w:p w:rsidR="00D36F8E" w:rsidRPr="00D36F8E" w:rsidRDefault="00D36F8E" w:rsidP="00D36F8E">
            <w:pPr>
              <w:rPr>
                <w:sz w:val="21"/>
                <w:szCs w:val="21"/>
              </w:rPr>
            </w:pPr>
          </w:p>
        </w:tc>
        <w:tc>
          <w:tcPr>
            <w:tcW w:w="1018" w:type="pct"/>
          </w:tcPr>
          <w:p w:rsidR="00D36F8E" w:rsidRPr="00D36F8E" w:rsidRDefault="00D36F8E" w:rsidP="00D36F8E">
            <w:pPr>
              <w:rPr>
                <w:sz w:val="21"/>
                <w:szCs w:val="21"/>
              </w:rPr>
            </w:pPr>
            <w:r w:rsidRPr="00D36F8E">
              <w:rPr>
                <w:sz w:val="21"/>
                <w:szCs w:val="21"/>
              </w:rPr>
              <w:t>L’élève est en mesure d’expliquer à un camarade les raisons du respect des règles d’hygiène.</w:t>
            </w:r>
          </w:p>
          <w:p w:rsidR="00D36F8E" w:rsidRPr="00D36F8E" w:rsidRDefault="00D36F8E" w:rsidP="00D36F8E">
            <w:pPr>
              <w:rPr>
                <w:sz w:val="21"/>
                <w:szCs w:val="21"/>
              </w:rPr>
            </w:pPr>
            <w:r w:rsidRPr="00D36F8E">
              <w:rPr>
                <w:sz w:val="21"/>
                <w:szCs w:val="21"/>
              </w:rPr>
              <w:t xml:space="preserve"> </w:t>
            </w:r>
          </w:p>
        </w:tc>
      </w:tr>
      <w:tr w:rsidR="00D36F8E" w:rsidRPr="00D36F8E" w:rsidTr="00D60AE2">
        <w:tc>
          <w:tcPr>
            <w:tcW w:w="695" w:type="pct"/>
          </w:tcPr>
          <w:p w:rsidR="00D36F8E" w:rsidRPr="00D36F8E" w:rsidRDefault="00D36F8E" w:rsidP="00D36F8E">
            <w:pPr>
              <w:rPr>
                <w:sz w:val="21"/>
                <w:szCs w:val="21"/>
              </w:rPr>
            </w:pPr>
            <w:r w:rsidRPr="00D36F8E">
              <w:rPr>
                <w:sz w:val="21"/>
                <w:szCs w:val="21"/>
              </w:rPr>
              <w:t>Règles de sécurité</w:t>
            </w:r>
          </w:p>
          <w:p w:rsidR="00D36F8E" w:rsidRPr="00D36F8E" w:rsidRDefault="00D36F8E" w:rsidP="00D36F8E">
            <w:pPr>
              <w:rPr>
                <w:sz w:val="21"/>
                <w:szCs w:val="21"/>
              </w:rPr>
            </w:pPr>
          </w:p>
          <w:p w:rsidR="00D36F8E" w:rsidRPr="00D36F8E" w:rsidRDefault="00D36F8E" w:rsidP="00D36F8E">
            <w:pPr>
              <w:rPr>
                <w:sz w:val="21"/>
                <w:szCs w:val="21"/>
              </w:rPr>
            </w:pPr>
          </w:p>
        </w:tc>
        <w:tc>
          <w:tcPr>
            <w:tcW w:w="973" w:type="pct"/>
            <w:shd w:val="clear" w:color="auto" w:fill="F2F2F2" w:themeFill="background1" w:themeFillShade="F2"/>
          </w:tcPr>
          <w:p w:rsidR="00D36F8E" w:rsidRPr="00D36F8E" w:rsidRDefault="00D36F8E" w:rsidP="00D36F8E">
            <w:pPr>
              <w:rPr>
                <w:sz w:val="21"/>
                <w:szCs w:val="21"/>
              </w:rPr>
            </w:pPr>
            <w:r w:rsidRPr="00D36F8E">
              <w:rPr>
                <w:sz w:val="21"/>
                <w:szCs w:val="21"/>
              </w:rPr>
              <w:t xml:space="preserve">Il ne repère pas le personnel de surveillance (MNS). Il ne connaît pas la fonction du MNS. </w:t>
            </w:r>
          </w:p>
          <w:p w:rsidR="00D36F8E" w:rsidRPr="00D36F8E" w:rsidRDefault="00D36F8E" w:rsidP="00D36F8E">
            <w:pPr>
              <w:rPr>
                <w:sz w:val="21"/>
                <w:szCs w:val="21"/>
              </w:rPr>
            </w:pPr>
            <w:r w:rsidRPr="00D36F8E">
              <w:rPr>
                <w:sz w:val="21"/>
                <w:szCs w:val="21"/>
              </w:rPr>
              <w:t>Il ne prend pas en compte les informations liées à la sécurité (profondeur, attendre que le camarade ait franchi un certain repère avant d’entrer dans l’eau, etc.) ni les indications fournies par l’enseignant ou les MNS.</w:t>
            </w:r>
          </w:p>
        </w:tc>
        <w:tc>
          <w:tcPr>
            <w:tcW w:w="1110" w:type="pct"/>
            <w:shd w:val="clear" w:color="auto" w:fill="F2F2F2" w:themeFill="background1" w:themeFillShade="F2"/>
          </w:tcPr>
          <w:p w:rsidR="00D36F8E" w:rsidRPr="00D36F8E" w:rsidRDefault="00D36F8E" w:rsidP="00D36F8E">
            <w:pPr>
              <w:rPr>
                <w:sz w:val="21"/>
                <w:szCs w:val="21"/>
              </w:rPr>
            </w:pPr>
            <w:r w:rsidRPr="00D36F8E">
              <w:rPr>
                <w:sz w:val="21"/>
                <w:szCs w:val="21"/>
              </w:rPr>
              <w:t xml:space="preserve">Il est en mesure d’identifier le personnel de surveillance (MNS) mais ne tient absolument pas compte de sa présence effective ou pas pour entrer dans l’eau. </w:t>
            </w:r>
          </w:p>
          <w:p w:rsidR="00D36F8E" w:rsidRPr="00D36F8E" w:rsidRDefault="00D36F8E" w:rsidP="00D36F8E">
            <w:pPr>
              <w:rPr>
                <w:sz w:val="21"/>
                <w:szCs w:val="21"/>
              </w:rPr>
            </w:pPr>
            <w:r w:rsidRPr="00D36F8E">
              <w:rPr>
                <w:sz w:val="21"/>
                <w:szCs w:val="21"/>
              </w:rPr>
              <w:t>Les informations de sécurité fournies par l’enseignant ou les MNS ne sont pas respectées (course sur les plages, passage sur un atelier sans attendre la libération de l’atelier par l’élève précédent, etc.)</w:t>
            </w:r>
          </w:p>
        </w:tc>
        <w:tc>
          <w:tcPr>
            <w:tcW w:w="1204" w:type="pct"/>
          </w:tcPr>
          <w:p w:rsidR="00D36F8E" w:rsidRPr="00D36F8E" w:rsidRDefault="00D36F8E" w:rsidP="00D36F8E">
            <w:pPr>
              <w:rPr>
                <w:sz w:val="21"/>
                <w:szCs w:val="21"/>
              </w:rPr>
            </w:pPr>
            <w:r w:rsidRPr="00D36F8E">
              <w:rPr>
                <w:sz w:val="21"/>
                <w:szCs w:val="21"/>
              </w:rPr>
              <w:t xml:space="preserve">L’élève repère le personnel de surveillance et entre dans l’eau en sachant qu’il en a le droit. </w:t>
            </w:r>
          </w:p>
          <w:p w:rsidR="00D36F8E" w:rsidRPr="00D36F8E" w:rsidRDefault="00D36F8E" w:rsidP="00D36F8E">
            <w:pPr>
              <w:rPr>
                <w:sz w:val="21"/>
                <w:szCs w:val="21"/>
              </w:rPr>
            </w:pPr>
            <w:r w:rsidRPr="00D36F8E">
              <w:rPr>
                <w:sz w:val="21"/>
                <w:szCs w:val="21"/>
              </w:rPr>
              <w:t>Il respecte les informations fournies par l’enseignant et le personnel de surveillance. Il sait qu’il peut s’adresser à ces adultes en cas de problème si nécessaire.</w:t>
            </w:r>
          </w:p>
        </w:tc>
        <w:tc>
          <w:tcPr>
            <w:tcW w:w="1018" w:type="pct"/>
          </w:tcPr>
          <w:p w:rsidR="00D36F8E" w:rsidRPr="00D36F8E" w:rsidRDefault="00D36F8E" w:rsidP="00D36F8E">
            <w:pPr>
              <w:rPr>
                <w:sz w:val="21"/>
                <w:szCs w:val="21"/>
              </w:rPr>
            </w:pPr>
            <w:r w:rsidRPr="00D36F8E">
              <w:rPr>
                <w:sz w:val="21"/>
                <w:szCs w:val="21"/>
              </w:rPr>
              <w:t>Il est en mesure d’indiquer à un camarade que la baignade n’est pas possible en raison de l’absence d’un élément majeur lié à la sécurité (MNS)</w:t>
            </w:r>
          </w:p>
          <w:p w:rsidR="00D36F8E" w:rsidRPr="00D36F8E" w:rsidRDefault="00D36F8E" w:rsidP="00D36F8E">
            <w:pPr>
              <w:rPr>
                <w:sz w:val="21"/>
                <w:szCs w:val="21"/>
              </w:rPr>
            </w:pPr>
            <w:r w:rsidRPr="00D36F8E">
              <w:rPr>
                <w:sz w:val="21"/>
                <w:szCs w:val="21"/>
              </w:rPr>
              <w:t xml:space="preserve">Il est capable de repérer des zones moins sûres (arrivée de toboggan, proximité des plongeoirs s’ils sont ouverts au public, etc.). </w:t>
            </w:r>
          </w:p>
        </w:tc>
      </w:tr>
      <w:tr w:rsidR="00D36F8E" w:rsidRPr="00D36F8E" w:rsidTr="00D60AE2">
        <w:tc>
          <w:tcPr>
            <w:tcW w:w="695" w:type="pct"/>
          </w:tcPr>
          <w:p w:rsidR="00D36F8E" w:rsidRPr="00D36F8E" w:rsidRDefault="00D36F8E" w:rsidP="00D36F8E">
            <w:pPr>
              <w:rPr>
                <w:sz w:val="21"/>
                <w:szCs w:val="21"/>
              </w:rPr>
            </w:pPr>
            <w:r w:rsidRPr="00D36F8E">
              <w:rPr>
                <w:sz w:val="21"/>
                <w:szCs w:val="21"/>
              </w:rPr>
              <w:t xml:space="preserve">Savoir identifier les environnements et les circonstances pour lesquels l’attestation du savoir nager est adaptée.  </w:t>
            </w:r>
          </w:p>
        </w:tc>
        <w:tc>
          <w:tcPr>
            <w:tcW w:w="973" w:type="pct"/>
            <w:shd w:val="clear" w:color="auto" w:fill="F2F2F2" w:themeFill="background1" w:themeFillShade="F2"/>
          </w:tcPr>
          <w:p w:rsidR="00D36F8E" w:rsidRPr="00D36F8E" w:rsidRDefault="00D36F8E" w:rsidP="00D36F8E">
            <w:pPr>
              <w:rPr>
                <w:sz w:val="21"/>
                <w:szCs w:val="21"/>
              </w:rPr>
            </w:pPr>
            <w:r w:rsidRPr="00D36F8E">
              <w:rPr>
                <w:sz w:val="21"/>
                <w:szCs w:val="21"/>
              </w:rPr>
              <w:t>Il ne connait pas les résultats du test savoir nager.</w:t>
            </w:r>
          </w:p>
          <w:p w:rsidR="00D36F8E" w:rsidRPr="00D36F8E" w:rsidRDefault="00D36F8E" w:rsidP="00D36F8E">
            <w:pPr>
              <w:rPr>
                <w:sz w:val="21"/>
                <w:szCs w:val="21"/>
              </w:rPr>
            </w:pPr>
            <w:r w:rsidRPr="00D36F8E">
              <w:rPr>
                <w:sz w:val="21"/>
                <w:szCs w:val="21"/>
              </w:rPr>
              <w:t>il n’identifie aucun espace dans la piscine (profondeur, zones d’entrée à respecter, espace peu saturé de nageurs, points ou zones où s’accrocher en cas de besoin, etc.).</w:t>
            </w:r>
          </w:p>
          <w:p w:rsidR="00D36F8E" w:rsidRPr="00D36F8E" w:rsidRDefault="00D36F8E" w:rsidP="00D36F8E">
            <w:pPr>
              <w:rPr>
                <w:sz w:val="21"/>
                <w:szCs w:val="21"/>
              </w:rPr>
            </w:pPr>
          </w:p>
        </w:tc>
        <w:tc>
          <w:tcPr>
            <w:tcW w:w="1110" w:type="pct"/>
            <w:shd w:val="clear" w:color="auto" w:fill="F2F2F2" w:themeFill="background1" w:themeFillShade="F2"/>
          </w:tcPr>
          <w:p w:rsidR="00D36F8E" w:rsidRPr="00D36F8E" w:rsidRDefault="00D36F8E" w:rsidP="00D36F8E">
            <w:pPr>
              <w:rPr>
                <w:sz w:val="21"/>
                <w:szCs w:val="21"/>
              </w:rPr>
            </w:pPr>
            <w:r w:rsidRPr="00D36F8E">
              <w:rPr>
                <w:sz w:val="21"/>
                <w:szCs w:val="21"/>
              </w:rPr>
              <w:t xml:space="preserve">L’élève pense que l’attestation « savoir nager » signifie qu’il sait nager dans tous les contextes. </w:t>
            </w:r>
          </w:p>
          <w:p w:rsidR="00D36F8E" w:rsidRPr="00D36F8E" w:rsidRDefault="00D36F8E" w:rsidP="00D36F8E">
            <w:pPr>
              <w:rPr>
                <w:sz w:val="21"/>
                <w:szCs w:val="21"/>
              </w:rPr>
            </w:pPr>
            <w:r w:rsidRPr="00D36F8E">
              <w:rPr>
                <w:sz w:val="21"/>
                <w:szCs w:val="21"/>
              </w:rPr>
              <w:t xml:space="preserve">L’élève est capable de repérer les différents espaces de la piscine dans laquelle il a évolué mais n’identifie pas ceux dans lesquels il peut évoluer en sécurité. </w:t>
            </w:r>
          </w:p>
        </w:tc>
        <w:tc>
          <w:tcPr>
            <w:tcW w:w="1204" w:type="pct"/>
          </w:tcPr>
          <w:p w:rsidR="00D36F8E" w:rsidRPr="00D36F8E" w:rsidRDefault="00D36F8E" w:rsidP="00D36F8E">
            <w:pPr>
              <w:rPr>
                <w:sz w:val="21"/>
                <w:szCs w:val="21"/>
              </w:rPr>
            </w:pPr>
            <w:r w:rsidRPr="00D36F8E">
              <w:rPr>
                <w:sz w:val="21"/>
                <w:szCs w:val="21"/>
              </w:rPr>
              <w:t xml:space="preserve">Il sait que la possession de l’attestation veut dire « attention, je peux nager dans cette piscine si je continue à faire attention à ce qui m’entoure ». </w:t>
            </w:r>
          </w:p>
          <w:p w:rsidR="00D36F8E" w:rsidRPr="00D36F8E" w:rsidRDefault="00D36F8E" w:rsidP="00D36F8E">
            <w:pPr>
              <w:rPr>
                <w:sz w:val="21"/>
                <w:szCs w:val="21"/>
              </w:rPr>
            </w:pPr>
            <w:r w:rsidRPr="00D36F8E">
              <w:rPr>
                <w:sz w:val="21"/>
                <w:szCs w:val="21"/>
              </w:rPr>
              <w:t>Il repère les espaces où il sait qu’il peut évoluer en sécurité.</w:t>
            </w:r>
          </w:p>
          <w:p w:rsidR="00D36F8E" w:rsidRPr="00D36F8E" w:rsidRDefault="00D36F8E" w:rsidP="00D36F8E">
            <w:pPr>
              <w:rPr>
                <w:sz w:val="21"/>
                <w:szCs w:val="21"/>
              </w:rPr>
            </w:pPr>
            <w:r w:rsidRPr="00D36F8E">
              <w:rPr>
                <w:sz w:val="21"/>
                <w:szCs w:val="21"/>
              </w:rPr>
              <w:t>Il sait qu’il peut agrandir son espace d’évolution avec l’aide d’un adulte</w:t>
            </w:r>
          </w:p>
        </w:tc>
        <w:tc>
          <w:tcPr>
            <w:tcW w:w="1018" w:type="pct"/>
          </w:tcPr>
          <w:p w:rsidR="00D36F8E" w:rsidRPr="00D36F8E" w:rsidRDefault="00D36F8E" w:rsidP="00D36F8E">
            <w:pPr>
              <w:rPr>
                <w:sz w:val="21"/>
                <w:szCs w:val="21"/>
              </w:rPr>
            </w:pPr>
            <w:r w:rsidRPr="00D36F8E">
              <w:rPr>
                <w:sz w:val="21"/>
                <w:szCs w:val="21"/>
              </w:rPr>
              <w:t>Il est en mesure d’attirer l’attention de son camarade sur l’adéquation entre les caractéristiques de la piscine  (profondeur, dimensions, zones particulières) et les ressources de son camarade.</w:t>
            </w:r>
          </w:p>
          <w:p w:rsidR="00D36F8E" w:rsidRPr="00D36F8E" w:rsidRDefault="00D36F8E" w:rsidP="00D36F8E">
            <w:pPr>
              <w:rPr>
                <w:sz w:val="21"/>
                <w:szCs w:val="21"/>
              </w:rPr>
            </w:pPr>
          </w:p>
        </w:tc>
      </w:tr>
    </w:tbl>
    <w:p w:rsidR="00D36F8E" w:rsidRPr="00D36F8E" w:rsidRDefault="00D36F8E" w:rsidP="00D36F8E">
      <w:pPr>
        <w:jc w:val="both"/>
      </w:pPr>
    </w:p>
    <w:p w:rsidR="00E1752D" w:rsidRDefault="00D96FE7"/>
    <w:sectPr w:rsidR="00E1752D" w:rsidSect="00D36F8E">
      <w:pgSz w:w="16838" w:h="11906"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8E"/>
    <w:rsid w:val="00AA4EC9"/>
    <w:rsid w:val="00D36F8E"/>
    <w:rsid w:val="00D96FE7"/>
    <w:rsid w:val="00FC3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99E8"/>
  <w15:chartTrackingRefBased/>
  <w15:docId w15:val="{3094D362-0F00-4B40-9D34-E95CDC83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2689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2</cp:revision>
  <dcterms:created xsi:type="dcterms:W3CDTF">2017-02-16T17:35:00Z</dcterms:created>
  <dcterms:modified xsi:type="dcterms:W3CDTF">2017-09-11T06:26:00Z</dcterms:modified>
</cp:coreProperties>
</file>